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7B847" w14:textId="77777777" w:rsidR="00615B9A" w:rsidRPr="00615B9A" w:rsidRDefault="00615B9A" w:rsidP="00615B9A">
      <w:pPr>
        <w:rPr>
          <w:b/>
          <w:bCs/>
        </w:rPr>
      </w:pPr>
      <w:r w:rsidRPr="00615B9A">
        <w:rPr>
          <w:b/>
          <w:bCs/>
        </w:rPr>
        <w:t xml:space="preserve">Gümrükler Genel Müdürlüğünün 28.01.2026 tarihli 118373817 sayılı yazısı (Elektronik Ortamda Menşe İspat ve Dolaşım Belgesi Düzenleyen </w:t>
      </w:r>
      <w:proofErr w:type="gramStart"/>
      <w:r w:rsidRPr="00615B9A">
        <w:rPr>
          <w:b/>
          <w:bCs/>
        </w:rPr>
        <w:t>Ülkeler -</w:t>
      </w:r>
      <w:proofErr w:type="gramEnd"/>
      <w:r w:rsidRPr="00615B9A">
        <w:rPr>
          <w:b/>
          <w:bCs/>
        </w:rPr>
        <w:t xml:space="preserve"> Katar)</w:t>
      </w:r>
    </w:p>
    <w:p w14:paraId="084560CD" w14:textId="77777777" w:rsidR="00615B9A" w:rsidRPr="00615B9A" w:rsidRDefault="00615B9A" w:rsidP="00615B9A">
      <w:r w:rsidRPr="00615B9A">
        <w:t>T.C.</w:t>
      </w:r>
      <w:r w:rsidRPr="00615B9A">
        <w:br/>
        <w:t>TİCARET BAKANLIĞI</w:t>
      </w:r>
      <w:r w:rsidRPr="00615B9A">
        <w:br/>
        <w:t>Gümrükler Genel Müdürlüğü</w:t>
      </w:r>
    </w:p>
    <w:p w14:paraId="689F4640" w14:textId="77777777" w:rsidR="00615B9A" w:rsidRPr="00615B9A" w:rsidRDefault="00615B9A" w:rsidP="00615B9A">
      <w:proofErr w:type="gramStart"/>
      <w:r w:rsidRPr="00615B9A">
        <w:rPr>
          <w:b/>
          <w:bCs/>
        </w:rPr>
        <w:t>Sayı</w:t>
      </w:r>
      <w:r w:rsidRPr="00615B9A">
        <w:t> :E</w:t>
      </w:r>
      <w:proofErr w:type="gramEnd"/>
      <w:r w:rsidRPr="00615B9A">
        <w:t>-16934678-724.01.02-00118373817</w:t>
      </w:r>
    </w:p>
    <w:p w14:paraId="415704C7" w14:textId="77777777" w:rsidR="00615B9A" w:rsidRPr="00615B9A" w:rsidRDefault="00615B9A" w:rsidP="00615B9A">
      <w:proofErr w:type="gramStart"/>
      <w:r w:rsidRPr="00615B9A">
        <w:rPr>
          <w:b/>
          <w:bCs/>
        </w:rPr>
        <w:t>Konu</w:t>
      </w:r>
      <w:r w:rsidRPr="00615B9A">
        <w:t> :Elektronik</w:t>
      </w:r>
      <w:proofErr w:type="gramEnd"/>
      <w:r w:rsidRPr="00615B9A">
        <w:t xml:space="preserve"> Ortamda Menşe İspat ve</w:t>
      </w:r>
      <w:r w:rsidRPr="00615B9A">
        <w:br/>
        <w:t>Dolaşım Belgesi Düzenleyen Ülkeler -</w:t>
      </w:r>
      <w:r w:rsidRPr="00615B9A">
        <w:br/>
        <w:t>Katar</w:t>
      </w:r>
    </w:p>
    <w:p w14:paraId="425F25FA" w14:textId="77777777" w:rsidR="00615B9A" w:rsidRPr="00615B9A" w:rsidRDefault="00615B9A" w:rsidP="00615B9A">
      <w:r w:rsidRPr="00615B9A">
        <w:t>28.01.2026 / 118373817</w:t>
      </w:r>
      <w:r w:rsidRPr="00615B9A">
        <w:br/>
        <w:t>DAĞITIM YERLERİNE</w:t>
      </w:r>
    </w:p>
    <w:p w14:paraId="5740BFEF" w14:textId="77777777" w:rsidR="00615B9A" w:rsidRPr="00615B9A" w:rsidRDefault="00615B9A" w:rsidP="00615B9A">
      <w:r w:rsidRPr="00615B9A">
        <w:t xml:space="preserve">Katar Devleti Ankara Büyükelçiliğinden alınan 26.01.2026 tarihli yazıda, Katar Ticaret ve Sanayi Bakanlığından aldıkları yazıya atıfla, Katar`dan gerçekleştirilecek ihracat işlemlerinde kullanılan EUR.1 Dolaşım Belgelerinin elektronik ortamda düzenlenebileceği, </w:t>
      </w:r>
      <w:proofErr w:type="spellStart"/>
      <w:r w:rsidRPr="00615B9A">
        <w:t>Nota’nın</w:t>
      </w:r>
      <w:proofErr w:type="spellEnd"/>
      <w:r w:rsidRPr="00615B9A">
        <w:t xml:space="preserve"> ekinde sunulan sistem ekran görüntüsünde de belgenin QR kod okutularak elektronik ortamda doğrulanabileceği bildirilmektedir.</w:t>
      </w:r>
    </w:p>
    <w:p w14:paraId="6A10250A" w14:textId="77777777" w:rsidR="00615B9A" w:rsidRPr="00615B9A" w:rsidRDefault="00615B9A" w:rsidP="00615B9A">
      <w:r w:rsidRPr="00615B9A">
        <w:t>Bu kapsamda, Anlaşmanın yürürlük tarihi itibariyle elektronik ortamda düzenlenen belgelerin kabul edilmesi uygun görülmüştür.</w:t>
      </w:r>
    </w:p>
    <w:p w14:paraId="0869DC15" w14:textId="77777777" w:rsidR="00615B9A" w:rsidRPr="00615B9A" w:rsidRDefault="00615B9A" w:rsidP="00615B9A">
      <w:r w:rsidRPr="00615B9A">
        <w:t>Bilgileri ile bağlantınız Gümrük Müdürlüklerinin konuya ilişkin olarak bilgilendirilmesi hususunda gereğini rica ederim.</w:t>
      </w:r>
    </w:p>
    <w:p w14:paraId="602CD73C" w14:textId="77777777" w:rsidR="00615B9A" w:rsidRPr="00615B9A" w:rsidRDefault="00615B9A" w:rsidP="00615B9A">
      <w:r w:rsidRPr="00615B9A">
        <w:t>Atılla BASTIRMACI</w:t>
      </w:r>
      <w:r w:rsidRPr="00615B9A">
        <w:br/>
        <w:t>Bakan a.</w:t>
      </w:r>
      <w:r w:rsidRPr="00615B9A">
        <w:br/>
        <w:t>Genel Müdür Yardımcısı</w:t>
      </w:r>
    </w:p>
    <w:p w14:paraId="334A0F2F" w14:textId="77777777" w:rsidR="00615B9A" w:rsidRPr="00615B9A" w:rsidRDefault="00615B9A" w:rsidP="00615B9A">
      <w:r w:rsidRPr="00615B9A">
        <w:rPr>
          <w:b/>
          <w:bCs/>
        </w:rPr>
        <w:t>EK</w:t>
      </w:r>
      <w:r w:rsidRPr="00615B9A">
        <w:t>: 2 adet belge.</w:t>
      </w:r>
    </w:p>
    <w:p w14:paraId="3B35579D" w14:textId="77777777" w:rsidR="00615B9A" w:rsidRPr="00615B9A" w:rsidRDefault="00615B9A" w:rsidP="00615B9A">
      <w:r w:rsidRPr="00615B9A">
        <w:rPr>
          <w:b/>
          <w:bCs/>
        </w:rPr>
        <w:t>DAĞITIM</w:t>
      </w:r>
      <w:r w:rsidRPr="00615B9A">
        <w:t>:</w:t>
      </w:r>
    </w:p>
    <w:p w14:paraId="086EFE33" w14:textId="77777777" w:rsidR="00615B9A" w:rsidRPr="00615B9A" w:rsidRDefault="00615B9A" w:rsidP="00615B9A">
      <w:r w:rsidRPr="00615B9A">
        <w:t>Tüm Gümrük ve Dış Ticaret Bölge Müdürlüklerine</w:t>
      </w:r>
    </w:p>
    <w:p w14:paraId="251AAE0A" w14:textId="77777777" w:rsidR="00615B9A" w:rsidRPr="00615B9A" w:rsidRDefault="00615B9A" w:rsidP="00615B9A">
      <w:r w:rsidRPr="00615B9A">
        <w:t> </w:t>
      </w:r>
    </w:p>
    <w:p w14:paraId="0B93825D" w14:textId="77777777" w:rsidR="00615B9A" w:rsidRPr="00615B9A" w:rsidRDefault="00615B9A" w:rsidP="00615B9A">
      <w:r w:rsidRPr="00615B9A">
        <w:t>Tarih: 26.01.2026</w:t>
      </w:r>
    </w:p>
    <w:p w14:paraId="34FCDD43" w14:textId="77777777" w:rsidR="00615B9A" w:rsidRPr="00615B9A" w:rsidRDefault="00615B9A" w:rsidP="00615B9A">
      <w:r w:rsidRPr="00615B9A">
        <w:t xml:space="preserve">Katar Devleti Büyükelçiliği Türkiye Cumhuriyeti Dışişleri Bakanlığına saygılarını sunar ve Türkiye Cumhuriyeti Doha Büyükelçiliği’nin 24 Aralık 2025 tarih ve (41151108) sayılı </w:t>
      </w:r>
      <w:proofErr w:type="spellStart"/>
      <w:r w:rsidRPr="00615B9A">
        <w:t>Notası’na</w:t>
      </w:r>
      <w:proofErr w:type="spellEnd"/>
      <w:r w:rsidRPr="00615B9A">
        <w:t xml:space="preserve"> atıfla, Ticaret ve Sanayi Bakanlığımızdan alınan yazıda (EUR.1) Eşya Dolaşım Belgesinin düzenlenmesi ve onaylanmasına ilişkin uygulanan prosedürleri aşağıda sunmaktan onur duyar;</w:t>
      </w:r>
    </w:p>
    <w:p w14:paraId="63C12503" w14:textId="77777777" w:rsidR="00615B9A" w:rsidRPr="00615B9A" w:rsidRDefault="00615B9A" w:rsidP="00615B9A">
      <w:r w:rsidRPr="00615B9A">
        <w:lastRenderedPageBreak/>
        <w:t>• Tüccar, ihracata ilişkin gümrük beyannamesini gümrük idaresine, gümrükleme sistemi “Al-</w:t>
      </w:r>
      <w:proofErr w:type="spellStart"/>
      <w:r w:rsidRPr="00615B9A">
        <w:t>Nadeeb</w:t>
      </w:r>
      <w:proofErr w:type="spellEnd"/>
      <w:r w:rsidRPr="00615B9A">
        <w:t>” aracılığıyla sunar.</w:t>
      </w:r>
    </w:p>
    <w:p w14:paraId="03B5BD7C" w14:textId="77777777" w:rsidR="00615B9A" w:rsidRPr="00615B9A" w:rsidRDefault="00615B9A" w:rsidP="00615B9A">
      <w:r w:rsidRPr="00615B9A">
        <w:t>• Tüccar, ticari faturayı ve ihracat gümrük beyannamesinin bir nüshasını, (EUR.1) Belgesinin düzenlenmesinden sorumlu olan Katar Ticaret ve Sanayi Odasına sunar, Belge üzerinde ihracat gümrük beyannamesi numarası yer alır.</w:t>
      </w:r>
    </w:p>
    <w:p w14:paraId="6E32E5E8" w14:textId="77777777" w:rsidR="00615B9A" w:rsidRPr="00615B9A" w:rsidRDefault="00615B9A" w:rsidP="00615B9A">
      <w:r w:rsidRPr="00615B9A">
        <w:t>• Söz konusu belge, elektronik ortamda Gümrük Genel İdaresinin yetkili birimine iletilir. Yetkili birim tarafından inceleme ve kontrol işlemleri gerçekleştirilerek, sorumlu yetkilinin imzası ve gümrüğe ait resmi mühür ile onaylanır.</w:t>
      </w:r>
    </w:p>
    <w:p w14:paraId="31AAE766" w14:textId="77777777" w:rsidR="00615B9A" w:rsidRPr="00615B9A" w:rsidRDefault="00615B9A" w:rsidP="00615B9A">
      <w:r w:rsidRPr="00615B9A">
        <w:t>• (EUR.1) Eşya Dolaşım Belgesi ile eşya arasındaki uygunluk ve eşleştirme işlemi, ihracat sırasında gümrük idaresinde yapılır.</w:t>
      </w:r>
    </w:p>
    <w:p w14:paraId="047C001C" w14:textId="77777777" w:rsidR="00615B9A" w:rsidRPr="00615B9A" w:rsidRDefault="00615B9A" w:rsidP="00615B9A">
      <w:r w:rsidRPr="00615B9A">
        <w:t>(EUR.1) Eşya Dolaşım Belgesinin elektronik ortamda düzenlenmesine ilişkin sisteme ait bir nüsha ile belgenin doğrulama yöntemine ilişkin bilgiler ekte sunulmuştur.</w:t>
      </w:r>
    </w:p>
    <w:p w14:paraId="241CF3A9" w14:textId="77777777" w:rsidR="00615B9A" w:rsidRPr="00615B9A" w:rsidRDefault="00615B9A" w:rsidP="00615B9A">
      <w:r w:rsidRPr="00615B9A">
        <w:t>Büyükelçilik bu vesileyle Sayın Türkiye Cumhuriyeti Dışişleri Bakanlığına en derin saygılarını yinelemekten kıvanç duyar.</w:t>
      </w:r>
    </w:p>
    <w:p w14:paraId="05BC6ACC" w14:textId="77777777" w:rsidR="00615B9A" w:rsidRPr="00615B9A" w:rsidRDefault="00615B9A" w:rsidP="00615B9A">
      <w:r w:rsidRPr="00615B9A">
        <w:rPr>
          <w:b/>
          <w:bCs/>
        </w:rPr>
        <w:t>Ek</w:t>
      </w:r>
      <w:r w:rsidRPr="00615B9A">
        <w:t>: 1</w:t>
      </w:r>
    </w:p>
    <w:p w14:paraId="2859C3C4" w14:textId="77777777" w:rsidR="00615B9A" w:rsidRPr="00615B9A" w:rsidRDefault="00615B9A" w:rsidP="00615B9A">
      <w:r w:rsidRPr="00615B9A">
        <w:t> </w:t>
      </w:r>
    </w:p>
    <w:p w14:paraId="16B7FDC3" w14:textId="77777777" w:rsidR="00615B9A" w:rsidRPr="00615B9A" w:rsidRDefault="00615B9A" w:rsidP="00615B9A">
      <w:r w:rsidRPr="00615B9A">
        <w:t> </w:t>
      </w:r>
    </w:p>
    <w:p w14:paraId="2B8EE73A" w14:textId="77777777" w:rsidR="00615B9A" w:rsidRPr="00615B9A" w:rsidRDefault="00615B9A" w:rsidP="00615B9A">
      <w:r w:rsidRPr="00615B9A">
        <w:t>T.C. DIŞİŞLERİ BAKANLIĞI</w:t>
      </w:r>
    </w:p>
    <w:p w14:paraId="24495731" w14:textId="77777777" w:rsidR="00615B9A" w:rsidRPr="00615B9A" w:rsidRDefault="00615B9A" w:rsidP="00615B9A">
      <w:r w:rsidRPr="00615B9A">
        <w:rPr>
          <w:b/>
          <w:bCs/>
        </w:rPr>
        <w:t>ANKARA</w:t>
      </w:r>
    </w:p>
    <w:p w14:paraId="424474B2" w14:textId="77777777" w:rsidR="00457C34" w:rsidRDefault="00457C34"/>
    <w:sectPr w:rsidR="0045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8D"/>
    <w:rsid w:val="003D758D"/>
    <w:rsid w:val="00457C34"/>
    <w:rsid w:val="00615B9A"/>
    <w:rsid w:val="00A86AED"/>
    <w:rsid w:val="00EB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5F025-285F-44DF-992B-1DBAE3FF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D7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D7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D7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D7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D7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D7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D7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D7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D7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D7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D7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D7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D758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D758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D758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D758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D758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D758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D7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D7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D7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D7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D7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D758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D758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D758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D7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D758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D7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2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Yurdakul</dc:creator>
  <cp:keywords/>
  <dc:description/>
  <cp:lastModifiedBy>Gokhan Yurdakul</cp:lastModifiedBy>
  <cp:revision>2</cp:revision>
  <dcterms:created xsi:type="dcterms:W3CDTF">2026-02-02T07:06:00Z</dcterms:created>
  <dcterms:modified xsi:type="dcterms:W3CDTF">2026-02-02T07:07:00Z</dcterms:modified>
</cp:coreProperties>
</file>